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2.00000000000003"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Directions: </w:t>
      </w:r>
      <w:r w:rsidDel="00000000" w:rsidR="00000000" w:rsidRPr="00000000">
        <w:rPr>
          <w:rFonts w:ascii="Calibri" w:cs="Calibri" w:eastAsia="Calibri" w:hAnsi="Calibri"/>
          <w:sz w:val="24"/>
          <w:szCs w:val="24"/>
          <w:rtl w:val="0"/>
        </w:rPr>
        <w:t xml:space="preserve">As you read Judge Sutton’s essay, take notes on areas in American history where state and local solutions, national solutions, and cooperative solutions have been used. You can include both positive and negative examples.</w:t>
      </w:r>
    </w:p>
    <w:tbl>
      <w:tblPr>
        <w:tblStyle w:val="Table1"/>
        <w:tblW w:w="10890.0" w:type="dxa"/>
        <w:jc w:val="left"/>
        <w:tblInd w:w="-735.0" w:type="dxa"/>
        <w:tblBorders>
          <w:top w:color="00bcca" w:space="0" w:sz="12" w:val="single"/>
          <w:left w:color="00bcca" w:space="0" w:sz="12" w:val="single"/>
          <w:bottom w:color="00bcca" w:space="0" w:sz="12" w:val="single"/>
          <w:right w:color="00bcca" w:space="0" w:sz="12" w:val="single"/>
          <w:insideH w:color="00bcca" w:space="0" w:sz="12" w:val="single"/>
          <w:insideV w:color="00bcca" w:space="0" w:sz="12" w:val="single"/>
        </w:tblBorders>
        <w:tblLayout w:type="fixed"/>
        <w:tblLook w:val="0600"/>
      </w:tblPr>
      <w:tblGrid>
        <w:gridCol w:w="5415"/>
        <w:gridCol w:w="5475"/>
        <w:tblGridChange w:id="0">
          <w:tblGrid>
            <w:gridCol w:w="5415"/>
            <w:gridCol w:w="5475"/>
          </w:tblGrid>
        </w:tblGridChange>
      </w:tblGrid>
      <w:tr>
        <w:trPr>
          <w:cantSplit w:val="0"/>
          <w:tblHeader w:val="0"/>
        </w:trPr>
        <w:tc>
          <w:tcPr>
            <w:shd w:fill="f2f2f2" w:val="clear"/>
            <w:tcMar>
              <w:top w:w="100.0" w:type="dxa"/>
              <w:left w:w="100.0" w:type="dxa"/>
              <w:bottom w:w="100.0" w:type="dxa"/>
              <w:right w:w="100.0" w:type="dxa"/>
            </w:tcMar>
          </w:tcPr>
          <w:p w:rsidR="00000000" w:rsidDel="00000000" w:rsidP="00000000" w:rsidRDefault="00000000" w:rsidRPr="00000000" w14:paraId="00000002">
            <w:pPr>
              <w:widowControl w:val="0"/>
              <w:jc w:val="center"/>
              <w:rPr>
                <w:rFonts w:ascii="Calibri" w:cs="Calibri" w:eastAsia="Calibri" w:hAnsi="Calibri"/>
                <w:b w:val="1"/>
                <w:color w:val="002169"/>
                <w:sz w:val="28"/>
                <w:szCs w:val="28"/>
              </w:rPr>
            </w:pPr>
            <w:r w:rsidDel="00000000" w:rsidR="00000000" w:rsidRPr="00000000">
              <w:rPr>
                <w:rFonts w:ascii="Calibri" w:cs="Calibri" w:eastAsia="Calibri" w:hAnsi="Calibri"/>
                <w:b w:val="1"/>
                <w:color w:val="002169"/>
                <w:sz w:val="28"/>
                <w:szCs w:val="28"/>
                <w:rtl w:val="0"/>
              </w:rPr>
              <w:t xml:space="preserve">State/Local Government </w:t>
            </w:r>
          </w:p>
          <w:p w:rsidR="00000000" w:rsidDel="00000000" w:rsidP="00000000" w:rsidRDefault="00000000" w:rsidRPr="00000000" w14:paraId="00000003">
            <w:pPr>
              <w:widowControl w:val="0"/>
              <w:jc w:val="center"/>
              <w:rPr>
                <w:rFonts w:ascii="Calibri" w:cs="Calibri" w:eastAsia="Calibri" w:hAnsi="Calibri"/>
                <w:color w:val="002169"/>
                <w:sz w:val="28"/>
                <w:szCs w:val="28"/>
              </w:rPr>
            </w:pPr>
            <w:r w:rsidDel="00000000" w:rsidR="00000000" w:rsidRPr="00000000">
              <w:rPr>
                <w:rFonts w:ascii="Calibri" w:cs="Calibri" w:eastAsia="Calibri" w:hAnsi="Calibri"/>
                <w:b w:val="1"/>
                <w:color w:val="002169"/>
                <w:sz w:val="28"/>
                <w:szCs w:val="28"/>
                <w:rtl w:val="0"/>
              </w:rPr>
              <w:t xml:space="preserve">Solutions</w:t>
            </w:r>
            <w:r w:rsidDel="00000000" w:rsidR="00000000" w:rsidRPr="00000000">
              <w:rPr>
                <w:rtl w:val="0"/>
              </w:rPr>
            </w:r>
          </w:p>
        </w:tc>
        <w:tc>
          <w:tcPr>
            <w:shd w:fill="f2f2f2" w:val="clear"/>
            <w:tcMar>
              <w:top w:w="100.0" w:type="dxa"/>
              <w:left w:w="100.0" w:type="dxa"/>
              <w:bottom w:w="100.0" w:type="dxa"/>
              <w:right w:w="100.0" w:type="dxa"/>
            </w:tcMar>
          </w:tcPr>
          <w:p w:rsidR="00000000" w:rsidDel="00000000" w:rsidP="00000000" w:rsidRDefault="00000000" w:rsidRPr="00000000" w14:paraId="00000004">
            <w:pPr>
              <w:widowControl w:val="0"/>
              <w:jc w:val="center"/>
              <w:rPr>
                <w:rFonts w:ascii="Calibri" w:cs="Calibri" w:eastAsia="Calibri" w:hAnsi="Calibri"/>
                <w:b w:val="1"/>
                <w:color w:val="002169"/>
                <w:sz w:val="28"/>
                <w:szCs w:val="28"/>
              </w:rPr>
            </w:pPr>
            <w:r w:rsidDel="00000000" w:rsidR="00000000" w:rsidRPr="00000000">
              <w:rPr>
                <w:rFonts w:ascii="Calibri" w:cs="Calibri" w:eastAsia="Calibri" w:hAnsi="Calibri"/>
                <w:b w:val="1"/>
                <w:color w:val="002169"/>
                <w:sz w:val="28"/>
                <w:szCs w:val="28"/>
                <w:rtl w:val="0"/>
              </w:rPr>
              <w:t xml:space="preserve">National Government</w:t>
            </w:r>
          </w:p>
          <w:p w:rsidR="00000000" w:rsidDel="00000000" w:rsidP="00000000" w:rsidRDefault="00000000" w:rsidRPr="00000000" w14:paraId="00000005">
            <w:pPr>
              <w:widowControl w:val="0"/>
              <w:jc w:val="center"/>
              <w:rPr>
                <w:rFonts w:ascii="Calibri" w:cs="Calibri" w:eastAsia="Calibri" w:hAnsi="Calibri"/>
                <w:color w:val="002169"/>
                <w:sz w:val="28"/>
                <w:szCs w:val="28"/>
              </w:rPr>
            </w:pPr>
            <w:r w:rsidDel="00000000" w:rsidR="00000000" w:rsidRPr="00000000">
              <w:rPr>
                <w:rFonts w:ascii="Calibri" w:cs="Calibri" w:eastAsia="Calibri" w:hAnsi="Calibri"/>
                <w:b w:val="1"/>
                <w:color w:val="002169"/>
                <w:sz w:val="28"/>
                <w:szCs w:val="28"/>
                <w:rtl w:val="0"/>
              </w:rPr>
              <w:t xml:space="preserve">Solutions</w:t>
            </w:r>
            <w:r w:rsidDel="00000000" w:rsidR="00000000" w:rsidRPr="00000000">
              <w:rPr>
                <w:rtl w:val="0"/>
              </w:rPr>
            </w:r>
          </w:p>
        </w:tc>
      </w:tr>
      <w:tr>
        <w:trPr>
          <w:cantSplit w:val="0"/>
          <w:trHeight w:val="6000" w:hRule="atLeast"/>
          <w:tblHeader w:val="0"/>
        </w:trPr>
        <w:tc>
          <w:tcPr>
            <w:shd w:fill="auto" w:val="clear"/>
            <w:tcMar>
              <w:top w:w="72.0" w:type="dxa"/>
              <w:left w:w="72.0" w:type="dxa"/>
              <w:bottom w:w="72.0" w:type="dxa"/>
              <w:right w:w="72.0" w:type="dxa"/>
            </w:tcMar>
          </w:tcPr>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tc>
        <w:tc>
          <w:tcPr>
            <w:shd w:fill="auto" w:val="clear"/>
            <w:tcMar>
              <w:top w:w="72.0" w:type="dxa"/>
              <w:left w:w="72.0" w:type="dxa"/>
              <w:bottom w:w="72.0" w:type="dxa"/>
              <w:right w:w="72.0" w:type="dxa"/>
            </w:tcMar>
          </w:tcPr>
          <w:p w:rsidR="00000000" w:rsidDel="00000000" w:rsidP="00000000" w:rsidRDefault="00000000" w:rsidRPr="00000000" w14:paraId="00000019">
            <w:pPr>
              <w:rPr/>
            </w:pPr>
            <w:r w:rsidDel="00000000" w:rsidR="00000000" w:rsidRPr="00000000">
              <w:rPr>
                <w:rtl w:val="0"/>
              </w:rPr>
            </w:r>
          </w:p>
        </w:tc>
      </w:tr>
    </w:tbl>
    <w:p w:rsidR="00000000" w:rsidDel="00000000" w:rsidP="00000000" w:rsidRDefault="00000000" w:rsidRPr="00000000" w14:paraId="0000001A">
      <w:pPr>
        <w:spacing w:after="160" w:line="252.00000000000003" w:lineRule="auto"/>
        <w:rPr>
          <w:b w:val="1"/>
        </w:rPr>
      </w:pPr>
      <w:r w:rsidDel="00000000" w:rsidR="00000000" w:rsidRPr="00000000">
        <w:rPr>
          <w:rtl w:val="0"/>
        </w:rPr>
      </w:r>
    </w:p>
    <w:tbl>
      <w:tblPr>
        <w:tblStyle w:val="Table2"/>
        <w:tblW w:w="10980.0" w:type="dxa"/>
        <w:jc w:val="left"/>
        <w:tblInd w:w="-735.0" w:type="dxa"/>
        <w:tblBorders>
          <w:top w:color="00bcca" w:space="0" w:sz="12" w:val="single"/>
          <w:left w:color="00bcca" w:space="0" w:sz="12" w:val="single"/>
          <w:bottom w:color="00bcca" w:space="0" w:sz="12" w:val="single"/>
          <w:right w:color="00bcca" w:space="0" w:sz="12" w:val="single"/>
          <w:insideH w:color="00bcca" w:space="0" w:sz="12" w:val="single"/>
          <w:insideV w:color="00bcca" w:space="0" w:sz="12" w:val="single"/>
        </w:tblBorders>
        <w:tblLayout w:type="fixed"/>
        <w:tblLook w:val="0600"/>
      </w:tblPr>
      <w:tblGrid>
        <w:gridCol w:w="10980"/>
        <w:tblGridChange w:id="0">
          <w:tblGrid>
            <w:gridCol w:w="10980"/>
          </w:tblGrid>
        </w:tblGridChange>
      </w:tblGrid>
      <w:tr>
        <w:trPr>
          <w:cantSplit w:val="0"/>
          <w:trHeight w:val="310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widowControl w:val="0"/>
              <w:jc w:val="center"/>
              <w:rPr>
                <w:rFonts w:ascii="Calibri" w:cs="Calibri" w:eastAsia="Calibri" w:hAnsi="Calibri"/>
                <w:b w:val="1"/>
                <w:color w:val="002169"/>
                <w:sz w:val="28"/>
                <w:szCs w:val="28"/>
              </w:rPr>
            </w:pPr>
            <w:r w:rsidDel="00000000" w:rsidR="00000000" w:rsidRPr="00000000">
              <w:rPr>
                <w:rFonts w:ascii="Calibri" w:cs="Calibri" w:eastAsia="Calibri" w:hAnsi="Calibri"/>
                <w:b w:val="1"/>
                <w:color w:val="002169"/>
                <w:sz w:val="28"/>
                <w:szCs w:val="28"/>
                <w:rtl w:val="0"/>
              </w:rPr>
              <w:t xml:space="preserve">Cooperative Solutions</w:t>
            </w:r>
          </w:p>
          <w:p w:rsidR="00000000" w:rsidDel="00000000" w:rsidP="00000000" w:rsidRDefault="00000000" w:rsidRPr="00000000" w14:paraId="0000001C">
            <w:pPr>
              <w:widowControl w:val="0"/>
              <w:jc w:val="center"/>
              <w:rPr>
                <w:b w:val="1"/>
                <w:color w:val="002169"/>
              </w:rPr>
            </w:pPr>
            <w:r w:rsidDel="00000000" w:rsidR="00000000" w:rsidRPr="00000000">
              <w:rPr>
                <w:rtl w:val="0"/>
              </w:rPr>
            </w:r>
          </w:p>
          <w:p w:rsidR="00000000" w:rsidDel="00000000" w:rsidP="00000000" w:rsidRDefault="00000000" w:rsidRPr="00000000" w14:paraId="0000001D">
            <w:pPr>
              <w:widowControl w:val="0"/>
              <w:jc w:val="center"/>
              <w:rPr>
                <w:b w:val="1"/>
                <w:color w:val="002169"/>
              </w:rPr>
            </w:pPr>
            <w:r w:rsidDel="00000000" w:rsidR="00000000" w:rsidRPr="00000000">
              <w:rPr>
                <w:rtl w:val="0"/>
              </w:rPr>
            </w:r>
          </w:p>
          <w:p w:rsidR="00000000" w:rsidDel="00000000" w:rsidP="00000000" w:rsidRDefault="00000000" w:rsidRPr="00000000" w14:paraId="0000001E">
            <w:pPr>
              <w:widowControl w:val="0"/>
              <w:jc w:val="center"/>
              <w:rPr>
                <w:b w:val="1"/>
                <w:color w:val="002169"/>
              </w:rPr>
            </w:pPr>
            <w:r w:rsidDel="00000000" w:rsidR="00000000" w:rsidRPr="00000000">
              <w:rPr>
                <w:rtl w:val="0"/>
              </w:rPr>
            </w:r>
          </w:p>
          <w:p w:rsidR="00000000" w:rsidDel="00000000" w:rsidP="00000000" w:rsidRDefault="00000000" w:rsidRPr="00000000" w14:paraId="0000001F">
            <w:pPr>
              <w:widowControl w:val="0"/>
              <w:jc w:val="center"/>
              <w:rPr>
                <w:b w:val="1"/>
                <w:color w:val="002169"/>
              </w:rPr>
            </w:pPr>
            <w:r w:rsidDel="00000000" w:rsidR="00000000" w:rsidRPr="00000000">
              <w:rPr>
                <w:rtl w:val="0"/>
              </w:rPr>
            </w:r>
          </w:p>
          <w:p w:rsidR="00000000" w:rsidDel="00000000" w:rsidP="00000000" w:rsidRDefault="00000000" w:rsidRPr="00000000" w14:paraId="00000020">
            <w:pPr>
              <w:widowControl w:val="0"/>
              <w:jc w:val="center"/>
              <w:rPr>
                <w:b w:val="1"/>
                <w:color w:val="002169"/>
              </w:rPr>
            </w:pPr>
            <w:r w:rsidDel="00000000" w:rsidR="00000000" w:rsidRPr="00000000">
              <w:rPr>
                <w:rtl w:val="0"/>
              </w:rPr>
            </w:r>
          </w:p>
          <w:p w:rsidR="00000000" w:rsidDel="00000000" w:rsidP="00000000" w:rsidRDefault="00000000" w:rsidRPr="00000000" w14:paraId="00000021">
            <w:pPr>
              <w:widowControl w:val="0"/>
              <w:rPr>
                <w:b w:val="1"/>
                <w:color w:val="002169"/>
              </w:rPr>
            </w:pPr>
            <w:r w:rsidDel="00000000" w:rsidR="00000000" w:rsidRPr="00000000">
              <w:rPr>
                <w:rtl w:val="0"/>
              </w:rPr>
            </w:r>
          </w:p>
          <w:p w:rsidR="00000000" w:rsidDel="00000000" w:rsidP="00000000" w:rsidRDefault="00000000" w:rsidRPr="00000000" w14:paraId="00000022">
            <w:pPr>
              <w:widowControl w:val="0"/>
              <w:rPr>
                <w:b w:val="1"/>
                <w:color w:val="002169"/>
              </w:rPr>
            </w:pPr>
            <w:r w:rsidDel="00000000" w:rsidR="00000000" w:rsidRPr="00000000">
              <w:rPr>
                <w:rtl w:val="0"/>
              </w:rPr>
            </w:r>
          </w:p>
        </w:tc>
      </w:tr>
    </w:tbl>
    <w:p w:rsidR="00000000" w:rsidDel="00000000" w:rsidP="00000000" w:rsidRDefault="00000000" w:rsidRPr="00000000" w14:paraId="00000023">
      <w:pPr>
        <w:rPr/>
      </w:pPr>
      <w:r w:rsidDel="00000000" w:rsidR="00000000" w:rsidRPr="00000000">
        <w:rPr>
          <w:rtl w:val="0"/>
        </w:rPr>
      </w:r>
    </w:p>
    <w:sectPr>
      <w:headerReference r:id="rId6" w:type="default"/>
      <w:footerReference r:id="rId7" w:type="default"/>
      <w:pgSz w:h="15840" w:w="12240" w:orient="portrait"/>
      <w:pgMar w:bottom="891"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1695450</wp:posOffset>
          </wp:positionH>
          <wp:positionV relativeFrom="paragraph">
            <wp:posOffset>0</wp:posOffset>
          </wp:positionV>
          <wp:extent cx="2555240" cy="49907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55240" cy="499070"/>
                  </a:xfrm>
                  <a:prstGeom prst="rect"/>
                  <a:ln/>
                </pic:spPr>
              </pic:pic>
            </a:graphicData>
          </a:graphic>
        </wp:anchor>
      </w:drawing>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pPr w:leftFromText="180" w:rightFromText="180" w:topFromText="180" w:bottomFromText="180" w:vertAnchor="text" w:horzAnchor="text" w:tblpX="120" w:tblpY="0"/>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5"/>
      <w:tblGridChange w:id="0">
        <w:tblGrid>
          <w:gridCol w:w="9015"/>
        </w:tblGrid>
      </w:tblGridChange>
    </w:tblGrid>
    <w:tr>
      <w:trPr>
        <w:cantSplit w:val="0"/>
        <w:trHeight w:val="432" w:hRule="atLeast"/>
        <w:tblHeader w:val="0"/>
      </w:trPr>
      <w:tc>
        <w:tcPr>
          <w:tcBorders>
            <w:top w:color="002169" w:space="0" w:sz="18" w:val="single"/>
            <w:left w:color="002169" w:space="0" w:sz="18" w:val="single"/>
            <w:bottom w:color="002169" w:space="0" w:sz="18" w:val="single"/>
            <w:right w:color="002169" w:space="0" w:sz="18" w:val="single"/>
          </w:tcBorders>
          <w:vAlign w:val="center"/>
        </w:tcPr>
        <w:p w:rsidR="00000000" w:rsidDel="00000000" w:rsidP="00000000" w:rsidRDefault="00000000" w:rsidRPr="00000000" w14:paraId="00000025">
          <w:pPr>
            <w:jc w:val="center"/>
            <w:rPr>
              <w:b w:val="1"/>
              <w:color w:val="002169"/>
              <w:sz w:val="32"/>
              <w:szCs w:val="32"/>
            </w:rPr>
          </w:pPr>
          <w:r w:rsidDel="00000000" w:rsidR="00000000" w:rsidRPr="00000000">
            <w:rPr>
              <w:b w:val="1"/>
              <w:color w:val="002169"/>
              <w:sz w:val="32"/>
              <w:szCs w:val="32"/>
              <w:rtl w:val="0"/>
            </w:rPr>
            <w:t xml:space="preserve">FEDERALISM </w:t>
          </w:r>
        </w:p>
        <w:p w:rsidR="00000000" w:rsidDel="00000000" w:rsidP="00000000" w:rsidRDefault="00000000" w:rsidRPr="00000000" w14:paraId="00000026">
          <w:pPr>
            <w:jc w:val="center"/>
            <w:rPr>
              <w:b w:val="1"/>
              <w:i w:val="1"/>
              <w:color w:val="002169"/>
              <w:sz w:val="32"/>
              <w:szCs w:val="32"/>
            </w:rPr>
          </w:pPr>
          <w:r w:rsidDel="00000000" w:rsidR="00000000" w:rsidRPr="00000000">
            <w:rPr>
              <w:b w:val="1"/>
              <w:i w:val="1"/>
              <w:color w:val="002169"/>
              <w:sz w:val="32"/>
              <w:szCs w:val="32"/>
              <w:rtl w:val="0"/>
            </w:rPr>
            <w:t xml:space="preserve">by Honorable Jeffrey S. Sutton</w:t>
          </w:r>
        </w:p>
      </w:tc>
    </w:tr>
  </w:tbl>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