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Background</w:t>
      </w:r>
    </w:p>
    <w:p w:rsidR="00000000" w:rsidDel="00000000" w:rsidP="00000000" w:rsidRDefault="00000000" w:rsidRPr="00000000" w14:paraId="00000002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this activity, students will get to know one of the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signers of the Declaration of Independence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by exploring both their life story and one of their original writings from the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Founders’ Library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Meet James Wilson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Share this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video about James Wilson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learn more about his life and the role in the American Revolution.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Read the Signer’s Source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Next, share the primary source 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4"/>
            <w:szCs w:val="24"/>
            <w:u w:val="single"/>
            <w:rtl w:val="0"/>
          </w:rPr>
          <w:t xml:space="preserve">Speech at a Public Meeting in Philadelphia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written by James Wilson. There are reading comprehension questions that correspond with this source to deepen understanding and build connections.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104775</wp:posOffset>
                </wp:positionV>
                <wp:extent cx="5753100" cy="239077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59225" y="2389700"/>
                          <a:ext cx="6605400" cy="258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accent6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Supporting Vocabulary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These definitions might support student learning as they read the primary source.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Superfluous: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More than what is needed; extra or unnecessary.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Elucidate: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To explain something clearly so it’s easier to understand.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Disquisition: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 long, detailed talk or written piece about a specific subject.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Jurisdiction: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official power or authority to make decisions and enforce laws in a certain area.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Copious: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 large amount of something; plenty.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Palladium: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Something that acts as a strong protection or safeguard. (In ancient times, it was also a statue believed to protect a city.)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Aggregate: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total amount after adding different things together.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Emolument: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Money or payment you get for doing a job.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552450</wp:posOffset>
                </wp:positionH>
                <wp:positionV relativeFrom="paragraph">
                  <wp:posOffset>104775</wp:posOffset>
                </wp:positionV>
                <wp:extent cx="5753100" cy="239077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0" cy="2390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Comprehension Questions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These comprehension questions are also included in the student version of the primary source.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agree with Wilson's argument against a Bill of Rights? Why or why not?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does Wilson view the powers given to the state government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versus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powers delegated to the national government?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does Wilson believe some people may not support the new constitution?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might self-interest influence someone's political views?</w:t>
      </w:r>
    </w:p>
    <w:p w:rsidR="00000000" w:rsidDel="00000000" w:rsidP="00000000" w:rsidRDefault="00000000" w:rsidRPr="00000000" w14:paraId="00000017">
      <w:pPr>
        <w:spacing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Extension Activity: Show What You Know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 are a reporter covering the new Constitution. After watching the video of Wilson and reading his speech, write a news article highlighting common themes you find in both pieces.</w:t>
      </w:r>
    </w:p>
    <w:sectPr>
      <w:headerReference r:id="rId10" w:type="default"/>
      <w:footerReference r:id="rId11" w:type="default"/>
      <w:footerReference r:id="rId12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2143125</wp:posOffset>
          </wp:positionH>
          <wp:positionV relativeFrom="paragraph">
            <wp:posOffset>47625</wp:posOffset>
          </wp:positionV>
          <wp:extent cx="2566988" cy="50136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988" cy="5013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ind w:right="36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180" w:bottomFromText="180" w:vertAnchor="text" w:horzAnchor="text" w:tblpX="637.5" w:tblpY="1"/>
      <w:tblW w:w="972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9720"/>
      <w:tblGridChange w:id="0">
        <w:tblGrid>
          <w:gridCol w:w="9720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9">
          <w:pPr>
            <w:jc w:val="center"/>
            <w:rPr>
              <w:b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rtl w:val="0"/>
            </w:rPr>
            <w:t xml:space="preserve">MEET THE SIGNER, READ THE SOURCE: JAMES WILSON</w:t>
          </w:r>
        </w:p>
        <w:p w:rsidR="00000000" w:rsidDel="00000000" w:rsidP="00000000" w:rsidRDefault="00000000" w:rsidRPr="00000000" w14:paraId="0000001A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Teacher Resource</w:t>
          </w:r>
        </w:p>
      </w:tc>
    </w:tr>
  </w:tbl>
  <w:p w:rsidR="00000000" w:rsidDel="00000000" w:rsidP="00000000" w:rsidRDefault="00000000" w:rsidRPr="00000000" w14:paraId="0000001B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left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constitutioncenter.org/signers" TargetMode="External"/><Relationship Id="rId7" Type="http://schemas.openxmlformats.org/officeDocument/2006/relationships/hyperlink" Target="https://constitutioncenter.org/signers/james-wilson" TargetMode="External"/><Relationship Id="rId8" Type="http://schemas.openxmlformats.org/officeDocument/2006/relationships/hyperlink" Target="https://constitutioncenter.org/the-constitution/historic-document-library/detail/james-wilson-speech-at-a-public-meeting-in-philadelphia-october-6-1787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