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Directions: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Compare the definitions of liberty and happiness analyzed in the essay. </w:t>
      </w:r>
    </w:p>
    <w:p w:rsidR="00000000" w:rsidDel="00000000" w:rsidP="00000000" w:rsidRDefault="00000000" w:rsidRPr="00000000" w14:paraId="00000002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b0f0" w:space="0" w:sz="12" w:val="single"/>
          <w:left w:color="00b0f0" w:space="0" w:sz="12" w:val="single"/>
          <w:bottom w:color="00b0f0" w:space="0" w:sz="12" w:val="single"/>
          <w:right w:color="00b0f0" w:space="0" w:sz="12" w:val="single"/>
          <w:insideH w:color="00b0f0" w:space="0" w:sz="12" w:val="single"/>
          <w:insideV w:color="00b0f0" w:space="0" w:sz="12" w:val="single"/>
        </w:tblBorders>
        <w:tblLayout w:type="fixed"/>
        <w:tblLook w:val="06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3864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  <w:rtl w:val="0"/>
              </w:rPr>
              <w:t xml:space="preserve">Term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  <w:rtl w:val="0"/>
              </w:rPr>
              <w:t xml:space="preserve">Common understanding of the term</w:t>
            </w:r>
          </w:p>
          <w:p w:rsidR="00000000" w:rsidDel="00000000" w:rsidP="00000000" w:rsidRDefault="00000000" w:rsidRPr="00000000" w14:paraId="0000000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  <w:rtl w:val="0"/>
              </w:rPr>
              <w:t xml:space="preserve">Founders’ understanding of the term</w:t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  <w:rtl w:val="0"/>
              </w:rPr>
              <w:t xml:space="preserve">Liberty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jc w:val="center"/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1f3864"/>
                <w:sz w:val="28"/>
                <w:szCs w:val="28"/>
                <w:rtl w:val="0"/>
              </w:rPr>
              <w:t xml:space="preserve">Happiness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How can understanding both perspectives support our understanding of the founders’ vision of government? How about government today?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2838450</wp:posOffset>
          </wp:positionH>
          <wp:positionV relativeFrom="paragraph">
            <wp:posOffset>-296558</wp:posOffset>
          </wp:positionV>
          <wp:extent cx="2555240" cy="49907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5240" cy="4990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382" w:tblpY="0"/>
      <w:tblW w:w="1240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2409"/>
      <w:tblGridChange w:id="0">
        <w:tblGrid>
          <w:gridCol w:w="12409"/>
        </w:tblGrid>
      </w:tblGridChange>
    </w:tblGrid>
    <w:tr>
      <w:trPr>
        <w:cantSplit w:val="0"/>
        <w:trHeight w:val="432" w:hRule="atLeast"/>
        <w:tblHeader w:val="0"/>
      </w:trPr>
      <w:tc>
        <w:tcPr>
          <w:tcBorders>
            <w:top w:color="002169" w:space="0" w:sz="18" w:val="single"/>
            <w:left w:color="002169" w:space="0" w:sz="18" w:val="single"/>
            <w:bottom w:color="002169" w:space="0" w:sz="18" w:val="single"/>
            <w:right w:color="002169" w:space="0" w:sz="18" w:val="single"/>
          </w:tcBorders>
          <w:vAlign w:val="center"/>
        </w:tcPr>
        <w:p w:rsidR="00000000" w:rsidDel="00000000" w:rsidP="00000000" w:rsidRDefault="00000000" w:rsidRPr="00000000" w14:paraId="0000001D">
          <w:pPr>
            <w:jc w:val="center"/>
            <w:rPr>
              <w:color w:val="002169"/>
              <w:sz w:val="32"/>
              <w:szCs w:val="32"/>
              <w:highlight w:val="white"/>
            </w:rPr>
          </w:pPr>
          <w:r w:rsidDel="00000000" w:rsidR="00000000" w:rsidRPr="00000000">
            <w:rPr>
              <w:b w:val="1"/>
              <w:color w:val="002169"/>
              <w:sz w:val="32"/>
              <w:szCs w:val="32"/>
              <w:highlight w:val="white"/>
              <w:rtl w:val="0"/>
            </w:rPr>
            <w:t xml:space="preserve">THE DECLARATION OF INDEPENDENCE AND THE CONCEPT OF LIBERTY</w:t>
          </w:r>
          <w:r w:rsidDel="00000000" w:rsidR="00000000" w:rsidRPr="00000000">
            <w:rPr>
              <w:color w:val="002169"/>
              <w:sz w:val="32"/>
              <w:szCs w:val="32"/>
              <w:highlight w:val="white"/>
              <w:rtl w:val="0"/>
            </w:rPr>
            <w:t xml:space="preserve"> </w:t>
          </w:r>
        </w:p>
        <w:p w:rsidR="00000000" w:rsidDel="00000000" w:rsidP="00000000" w:rsidRDefault="00000000" w:rsidRPr="00000000" w14:paraId="0000001E">
          <w:pPr>
            <w:jc w:val="center"/>
            <w:rPr>
              <w:b w:val="1"/>
              <w:i w:val="1"/>
              <w:color w:val="002169"/>
              <w:sz w:val="32"/>
              <w:szCs w:val="32"/>
            </w:rPr>
          </w:pPr>
          <w:r w:rsidDel="00000000" w:rsidR="00000000" w:rsidRPr="00000000">
            <w:rPr>
              <w:b w:val="1"/>
              <w:i w:val="1"/>
              <w:color w:val="002169"/>
              <w:sz w:val="32"/>
              <w:szCs w:val="32"/>
              <w:rtl w:val="0"/>
            </w:rPr>
            <w:t xml:space="preserve">by Dr. Robert George</w:t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