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KOREMATSU V. UNITED STATES (1944)</w:t>
            </w:r>
          </w:p>
        </w:tc>
      </w:tr>
    </w:tbl>
    <w:p w:rsidR="00000000" w:rsidDel="00000000" w:rsidP="00000000" w:rsidRDefault="00000000" w:rsidRPr="00000000" w14:paraId="00000003">
      <w:pPr>
        <w:spacing w:line="240" w:lineRule="auto"/>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Fred Korematsu was a Japanese-American citizen who refused to relocate to one of the detention camps created during World War II by executive order specifically created to detain Japanese Americans. Korematsu was convicted for disobeying this executive order. He appealed his conviction, and his case eventually reached the Supreme Court. There, the Court held that the executive order and the state laws that followed it were constitutional because they furthered a “military necessity.” In so doing, the Court placed national security above protection of its citizens even with regard to laws “curtail[ing] the civil rights of a single racial group.” The Korematsu decision was not overruled by the Supreme Court until 2018.</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Black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legal restrictions which curtail the civil rights of a single racial group are immediately suspect. That is not to say that all such restrictions are unconstitutional. It is to say that courts must subject them to the most rigid scrutiny. Pressing public necessity may sometimes justify the existence of such restrictions; racial antagonism never can. .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uphold the exclusion order as of the time it was made and when the petitioner violated it.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5b697f"/>
        </w:rPr>
      </w:pPr>
      <w:r w:rsidDel="00000000" w:rsidR="00000000" w:rsidRPr="00000000">
        <w:rPr>
          <w:rtl w:val="0"/>
        </w:rPr>
        <w:t xml:space="preserve">It is said that we are dealing here with the case of imprisonment of a citizen in a concentration camp solely because of his ancestry, without evidence or inquiry concerning his loyalty and good disposition towards the United States. Our task would be simple, our duty clear, were this a case involving the imprisonment of a loyal citizen in a concentration camp because of racial prejudice. Regardless of the true nature of the assembly and relocation centers—and we deem it unjustifiable to call them concentration camps with all the ugly connotations that term implies—we are dealing specifically with nothing but an exclusion order. To cast this case into outlines of racial prejudice, without reference to the real military dangers which were presented, merely confuses the issue. Korematsu was not excluded from the Military Area because of hostility to him or his race. He was excluded because we are at war with the Japanese Empire, because the properly constituted military authorities feared an invasion of our West Coast and felt constrained to take proper security measures, because they decided that the military urgency of the situation demanded that all citizens of Japanese ancestry be segregated from the West Coast temporarily, and finally, because Congress, reposing its confidence in this time of war in our military leaders—as inevitably it must—determined that they should have the power to do just this. There was evidence of disloyalty on the part of some, the military authorities considered that the need for action was great, and time was short. We cannot—by availing ourselves of the calm perspective of hindsight—now say that at that time these actions were unjustified.</w:t>
      </w:r>
      <w:r w:rsidDel="00000000" w:rsidR="00000000" w:rsidRPr="00000000">
        <w:rPr>
          <w:rtl w:val="0"/>
        </w:rPr>
      </w:r>
    </w:p>
    <w:p w:rsidR="00000000" w:rsidDel="00000000" w:rsidP="00000000" w:rsidRDefault="00000000" w:rsidRPr="00000000" w14:paraId="00000013">
      <w:pPr>
        <w:rPr>
          <w:color w:val="5b697f"/>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u w:val="single"/>
          <w:rtl w:val="0"/>
        </w:rPr>
        <w:t xml:space="preserve">Excerpt</w:t>
      </w:r>
      <w:r w:rsidDel="00000000" w:rsidR="00000000" w:rsidRPr="00000000">
        <w:rPr>
          <w:b w:val="1"/>
          <w:rtl w:val="0"/>
        </w:rPr>
        <w:t xml:space="preserve">: Dissent, Justice Roberts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is not a case of keeping people off the streets at night . . . , nor a case of temporary exclusion of a citizen from an area for his own safety or that of the community, nor a case of offering him an opportunity to go temporarily out of an area where his presence might cause danger to himself or to his fellows. On the contrary, it is the case of convicting a citizen as a punishment for not submitting to imprisonment in a concentration camp, based on his ancestry, and solely because of his ancestry, without evidence or inquiry concerning his loyalty and good disposition towards the United States. If this be a correct statement of the facts disclosed by this record, and facts of which we take judicial notice, I need hardly labor the conclusion that Constitutional rights have been violated.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u w:val="single"/>
          <w:rtl w:val="0"/>
        </w:rPr>
        <w:t xml:space="preserve">Excerpt</w:t>
      </w:r>
      <w:r w:rsidDel="00000000" w:rsidR="00000000" w:rsidRPr="00000000">
        <w:rPr>
          <w:b w:val="1"/>
          <w:rtl w:val="0"/>
        </w:rPr>
        <w:t xml:space="preserve">: Dissent, Justice Murphy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exclusion of “all persons of Japanese ancestry, both alien and non-alien,” from the Pacific Coast area on a plea of military necessity in the absence of martial law ought not to be approved. Such exclusion goes over “the very brink of constitutional power” and falls into the ugly abyss of racism.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dealing with matters relating to the prosecution and progress of a war, we must accord great respect and consideration to the judgments of the military authorities who are on the scene and who have full knowledge of the military facts. The scope of their discretion must, as a matter of necessity and common sense, be wide. And their judgments ought not to be overruled lightly by those whose training and duties ill-equip them to deal intelligently with matters so vital to the physical security of the nation.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At the same time, however, it is essential that there be definite limits to military discretion, especially where martial law has not been declared. Individuals must not be left impoverished of their constitutional rights on a plea of military necessity that has neither substance nor support. Thus, like other claims conflicting with the asserted constitutional rights of the individual, the military claim must subject itself to the judicial process of having its reasonableness determined and its conflicts with other interests reconciled.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u w:val="single"/>
          <w:rtl w:val="0"/>
        </w:rPr>
        <w:t xml:space="preserve">Excerpt</w:t>
      </w:r>
      <w:r w:rsidDel="00000000" w:rsidR="00000000" w:rsidRPr="00000000">
        <w:rPr>
          <w:b w:val="1"/>
          <w:rtl w:val="0"/>
        </w:rPr>
        <w:t xml:space="preserve">: Dissent, Justice Jackson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citizen’s presence in the locality . . . was made a crime only if his parents were of Japanese birth. Had Korematsu been one of four—the others being, say, a German alien enemy, an Italian alien enemy, and a citizen of American-born ancestors, convicted of treason but out on parole—only Korematsu’s presence would have violated the order. The difference between their innocence and his crime would result, not from anything he did, said, or thought, different than they, but only in that he was born of different racial stock.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Now, if any fundamental assumption underlies our system, it is that guilt is personal and not inheritable. Even if all of one’s antecedents had been convicted of treason, the Constitution forbids its penalties to be visited upon him, for it provides that “no Attainder of Treason shall work Corruption of Blood, or Forfeiture except during the Life of the Person attained.” . . . But here is an attempt to make an otherwise innocent act a crime merely because this prisoner is the son of parents as to whom he had no choice, and belongs to a race from which there is no way to resign. If Congress in peace-time legislation should enact such a criminal law, I should suppose this Court would refuse to enforce it. . .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armed services must protect a society, not merely its Constitution . . . But if we cannot confine military expedients by the Constitution, neither would I distort the Constitution to approve all that the military may deem expedient. This is what the Court appears to be doing, whether consciously or not. . .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Much is said of the danger to liberty from the Army program for deporting and detaining these citizens of Japanese extraction. But a judicial construction of the due process clause that will sustain this order is a far more subtle blow to liberty than the promulgation of the order itself. A military order, however unconstitutional, is not apt to last longer than the military emergency. Even during that period, a succeeding commander may revoke it all. But once a judicial opinion rationalizes such an order to show that it conforms to the Constitution, or rather rationalizes the Constitution to show that the Constitution sanctions such an order, the Court for all time has validated the principle of racial discrimination in criminal procedure and of transplanting American citizens. The principle then lies about like a loaded weapon, ready for the hand of any authority that can bring forward a plausible claim of an urgent need. Every repetition imbeds that principle more deeply in our law and thinking and expands it to new purposes. . . . A military commander may overstep the bounds of constitutionality, and it is an incident. But if we review and approve, that passing incident becomes the doctrine of the Constitution. There it has a generative power of its own, and all that it creates will be in its own image. Nothing better illustrates this danger than does the Court’s opinion in this case.</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B">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2C">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korematsu-v-united-states" TargetMode="External"/><Relationship Id="rId7" Type="http://schemas.openxmlformats.org/officeDocument/2006/relationships/hyperlink" Target="https://supreme.justia.com/cases/federal/us/323/214/#tab-opinion-1938224"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