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POWERS OF CONGRESS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explore how Article I of the Constitution sets out the powers of Congress and also establishes limits on those powers</w:t>
      </w:r>
      <w:r w:rsidDel="00000000" w:rsidR="00000000" w:rsidRPr="00000000">
        <w:rPr>
          <w:rFonts w:ascii="Arial" w:cs="Arial" w:eastAsia="Arial" w:hAnsi="Arial"/>
          <w:rtl w:val="0"/>
        </w:rPr>
        <w:t xml:space="preserve">. You will also explore how Supreme Court cases have interpreted those powers over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Watch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complete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3.0" w:type="dxa"/>
        <w:jc w:val="left"/>
        <w:tblInd w:w="7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1605"/>
        <w:gridCol w:w="2735.9999999999995"/>
        <w:gridCol w:w="2735.9999999999995"/>
        <w:gridCol w:w="2735.9999999999995"/>
        <w:tblGridChange w:id="0">
          <w:tblGrid>
            <w:gridCol w:w="1605"/>
            <w:gridCol w:w="2735.9999999999995"/>
            <w:gridCol w:w="2735.9999999999995"/>
            <w:gridCol w:w="2735.9999999999995"/>
          </w:tblGrid>
        </w:tblGridChange>
      </w:tblGrid>
      <w:tr>
        <w:trPr>
          <w:cantSplit w:val="0"/>
          <w:trHeight w:val="1015.66406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Supreme Court Case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was the key constitutional question </w:t>
              <w:br w:type="textWrapping"/>
              <w:t xml:space="preserve">in the case?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did the Court </w:t>
              <w:br w:type="textWrapping"/>
              <w:t xml:space="preserve">rule in the case?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effect did the case have on congressional power over time?</w:t>
            </w:r>
          </w:p>
        </w:tc>
      </w:tr>
      <w:tr>
        <w:trPr>
          <w:cantSplit w:val="0"/>
          <w:trHeight w:val="2311.2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McCulloch v. Maryland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1.2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Wickard v. Filburn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1.2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United States v. Lopez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Share your worksheet responses in small groups and look for key similarities or differences. </w:t>
        <w:br w:type="textWrapping"/>
        <w:t xml:space="preserve">Be prepared to discuss your work with the rest of the class.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7: The Legislative Branch: How Congress Works</w:t>
    </w:r>
  </w:p>
  <w:p w:rsidR="00000000" w:rsidDel="00000000" w:rsidP="00000000" w:rsidRDefault="00000000" w:rsidRPr="00000000" w14:paraId="0000001E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7.3 Video Reflection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067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F10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FF1067"/>
  </w:style>
  <w:style w:type="character" w:styleId="eop" w:customStyle="1">
    <w:name w:val="eop"/>
    <w:basedOn w:val="DefaultParagraphFont"/>
    <w:rsid w:val="00FF1067"/>
  </w:style>
  <w:style w:type="character" w:styleId="Hyperlink">
    <w:name w:val="Hyperlink"/>
    <w:basedOn w:val="DefaultParagraphFont"/>
    <w:uiPriority w:val="99"/>
    <w:unhideWhenUsed w:val="1"/>
    <w:rsid w:val="00FF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F106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lx09hAqlOOs&amp;list=PLLd1AFkP31XNrOuH2bpdmRAzWlw3GiAsv&amp;index=10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cOVqtY3NiaIWSVwR8uYFJIGyg==">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2022-06-10T17:14:00Z</dcterms:created>
  <dc:creator>Nick Splendoria</dc:creator>
</cp:coreProperties>
</file>