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E40" w:rsidRDefault="00056E40">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056E40">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rsidR="00056E40" w:rsidRDefault="005A1472">
            <w:pPr>
              <w:jc w:val="center"/>
              <w:rPr>
                <w:rFonts w:ascii="Arial" w:eastAsia="Arial" w:hAnsi="Arial" w:cs="Arial"/>
                <w:b/>
                <w:color w:val="002169"/>
                <w:sz w:val="32"/>
                <w:szCs w:val="32"/>
              </w:rPr>
            </w:pPr>
            <w:r>
              <w:rPr>
                <w:rFonts w:ascii="Arial" w:eastAsia="Arial" w:hAnsi="Arial" w:cs="Arial"/>
                <w:b/>
                <w:color w:val="002169"/>
                <w:sz w:val="32"/>
                <w:szCs w:val="32"/>
              </w:rPr>
              <w:t xml:space="preserve">CONSTITUTIONAL INTERPRETATION </w:t>
            </w:r>
          </w:p>
          <w:p w:rsidR="00056E40" w:rsidRDefault="005A1472">
            <w:pPr>
              <w:jc w:val="center"/>
              <w:rPr>
                <w:rFonts w:ascii="Arial" w:eastAsia="Arial" w:hAnsi="Arial" w:cs="Arial"/>
                <w:b/>
                <w:color w:val="002169"/>
                <w:sz w:val="32"/>
                <w:szCs w:val="32"/>
              </w:rPr>
            </w:pPr>
            <w:r>
              <w:rPr>
                <w:rFonts w:ascii="Arial" w:eastAsia="Arial" w:hAnsi="Arial" w:cs="Arial"/>
                <w:b/>
                <w:color w:val="002169"/>
                <w:sz w:val="32"/>
                <w:szCs w:val="32"/>
              </w:rPr>
              <w:t>METHOD IDENTIFICATION</w:t>
            </w:r>
          </w:p>
        </w:tc>
      </w:tr>
    </w:tbl>
    <w:p w:rsidR="00056E40" w:rsidRDefault="00056E40">
      <w:pPr>
        <w:spacing w:before="120" w:after="0" w:line="240" w:lineRule="auto"/>
        <w:jc w:val="center"/>
        <w:rPr>
          <w:rFonts w:ascii="Arial" w:eastAsia="Arial" w:hAnsi="Arial" w:cs="Arial"/>
          <w:sz w:val="8"/>
          <w:szCs w:val="8"/>
        </w:rPr>
      </w:pPr>
    </w:p>
    <w:p w:rsidR="00056E40" w:rsidRDefault="005A1472">
      <w:pPr>
        <w:spacing w:after="0" w:line="276" w:lineRule="auto"/>
        <w:rPr>
          <w:rFonts w:ascii="Arial" w:eastAsia="Arial" w:hAnsi="Arial" w:cs="Arial"/>
          <w:color w:val="000000"/>
        </w:rPr>
      </w:pPr>
      <w:r>
        <w:rPr>
          <w:rFonts w:ascii="Arial" w:eastAsia="Arial" w:hAnsi="Arial" w:cs="Arial"/>
          <w:color w:val="000000"/>
        </w:rPr>
        <w:t xml:space="preserve">In this activity, you will continue exploring the seven methods of constitutional interpretation. </w:t>
      </w:r>
    </w:p>
    <w:p w:rsidR="00056E40" w:rsidRDefault="005A1472">
      <w:pPr>
        <w:spacing w:after="0" w:line="276" w:lineRule="auto"/>
        <w:jc w:val="center"/>
        <w:rPr>
          <w:rFonts w:ascii="Arial" w:eastAsia="Arial" w:hAnsi="Arial" w:cs="Arial"/>
        </w:rPr>
      </w:pPr>
      <w:r>
        <w:rPr>
          <w:rFonts w:ascii="Arial" w:eastAsia="Arial" w:hAnsi="Arial" w:cs="Arial"/>
        </w:rPr>
        <w:t>___________</w:t>
      </w:r>
    </w:p>
    <w:p w:rsidR="00056E40" w:rsidRDefault="005A1472">
      <w:pPr>
        <w:spacing w:before="120" w:line="252" w:lineRule="auto"/>
        <w:rPr>
          <w:rFonts w:ascii="Arial" w:eastAsia="Arial" w:hAnsi="Arial" w:cs="Arial"/>
        </w:rPr>
      </w:pPr>
      <w:r>
        <w:rPr>
          <w:rFonts w:ascii="Arial" w:eastAsia="Arial" w:hAnsi="Arial" w:cs="Arial"/>
        </w:rPr>
        <w:t>Review the list of quotes from Supreme Court cases. Identify the constitutional methodology that connects to each quote.</w:t>
      </w:r>
    </w:p>
    <w:tbl>
      <w:tblPr>
        <w:tblStyle w:val="a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3330"/>
      </w:tblGrid>
      <w:tr w:rsidR="00056E40">
        <w:trPr>
          <w:trHeight w:val="479"/>
        </w:trPr>
        <w:tc>
          <w:tcPr>
            <w:tcW w:w="6360" w:type="dxa"/>
            <w:tcBorders>
              <w:top w:val="single" w:sz="12" w:space="0" w:color="00BCCA"/>
              <w:left w:val="single" w:sz="12" w:space="0" w:color="00BCCA"/>
              <w:bottom w:val="single" w:sz="12" w:space="0" w:color="00BCCA"/>
              <w:right w:val="single" w:sz="12" w:space="0" w:color="00BCCA"/>
            </w:tcBorders>
            <w:shd w:val="clear" w:color="auto" w:fill="F3F3F3"/>
            <w:vAlign w:val="center"/>
          </w:tcPr>
          <w:p w:rsidR="00056E40" w:rsidRDefault="005A1472">
            <w:pPr>
              <w:jc w:val="center"/>
              <w:rPr>
                <w:rFonts w:ascii="Arial" w:eastAsia="Arial" w:hAnsi="Arial" w:cs="Arial"/>
                <w:color w:val="002169"/>
              </w:rPr>
            </w:pPr>
            <w:r>
              <w:rPr>
                <w:rFonts w:ascii="Arial" w:eastAsia="Arial" w:hAnsi="Arial" w:cs="Arial"/>
                <w:color w:val="002169"/>
              </w:rPr>
              <w:t>Quote</w:t>
            </w:r>
          </w:p>
        </w:tc>
        <w:tc>
          <w:tcPr>
            <w:tcW w:w="3330" w:type="dxa"/>
            <w:tcBorders>
              <w:top w:val="single" w:sz="12" w:space="0" w:color="00BCCA"/>
              <w:left w:val="single" w:sz="12" w:space="0" w:color="00BCCA"/>
              <w:bottom w:val="single" w:sz="12" w:space="0" w:color="00BCCA"/>
              <w:right w:val="single" w:sz="12" w:space="0" w:color="00BCCA"/>
            </w:tcBorders>
            <w:shd w:val="clear" w:color="auto" w:fill="F3F3F3"/>
            <w:vAlign w:val="center"/>
          </w:tcPr>
          <w:p w:rsidR="00056E40" w:rsidRDefault="005A1472">
            <w:pPr>
              <w:jc w:val="center"/>
              <w:rPr>
                <w:rFonts w:ascii="Arial" w:eastAsia="Arial" w:hAnsi="Arial" w:cs="Arial"/>
                <w:color w:val="002169"/>
              </w:rPr>
            </w:pPr>
            <w:r>
              <w:rPr>
                <w:rFonts w:ascii="Arial" w:eastAsia="Arial" w:hAnsi="Arial" w:cs="Arial"/>
                <w:color w:val="002169"/>
              </w:rPr>
              <w:t>Method</w:t>
            </w:r>
          </w:p>
        </w:tc>
      </w:tr>
      <w:tr w:rsidR="00056E40">
        <w:trPr>
          <w:trHeight w:val="1335"/>
        </w:trPr>
        <w:tc>
          <w:tcPr>
            <w:tcW w:w="6360" w:type="dxa"/>
            <w:tcBorders>
              <w:top w:val="single" w:sz="12" w:space="0" w:color="00BCCA"/>
              <w:left w:val="single" w:sz="12" w:space="0" w:color="00BCCA"/>
              <w:bottom w:val="single" w:sz="12" w:space="0" w:color="00BCCA"/>
              <w:right w:val="single" w:sz="12" w:space="0" w:color="00BCCA"/>
            </w:tcBorders>
          </w:tcPr>
          <w:p w:rsidR="00056E40" w:rsidRDefault="005A1472">
            <w:pPr>
              <w:rPr>
                <w:rFonts w:ascii="Arial" w:eastAsia="Arial" w:hAnsi="Arial" w:cs="Arial"/>
                <w:color w:val="201F1E"/>
                <w:highlight w:val="white"/>
              </w:rPr>
            </w:pPr>
            <w:r>
              <w:rPr>
                <w:rFonts w:ascii="Arial" w:eastAsia="Arial" w:hAnsi="Arial" w:cs="Arial"/>
              </w:rPr>
              <w:t xml:space="preserve">1. </w:t>
            </w:r>
            <w:r>
              <w:rPr>
                <w:rFonts w:ascii="Arial" w:eastAsia="Arial" w:hAnsi="Arial" w:cs="Arial"/>
                <w:color w:val="201F1E"/>
                <w:highlight w:val="white"/>
              </w:rPr>
              <w:t xml:space="preserve">“[I]t is clear that the Framers and </w:t>
            </w:r>
            <w:proofErr w:type="spellStart"/>
            <w:r>
              <w:rPr>
                <w:rFonts w:ascii="Arial" w:eastAsia="Arial" w:hAnsi="Arial" w:cs="Arial"/>
                <w:color w:val="201F1E"/>
                <w:highlight w:val="white"/>
              </w:rPr>
              <w:t>ratifiers</w:t>
            </w:r>
            <w:proofErr w:type="spellEnd"/>
            <w:r>
              <w:rPr>
                <w:rFonts w:ascii="Arial" w:eastAsia="Arial" w:hAnsi="Arial" w:cs="Arial"/>
                <w:color w:val="201F1E"/>
                <w:highlight w:val="white"/>
              </w:rPr>
              <w:t xml:space="preserve"> of the Fourteenth Amendment counted the right to keep and bear arms among those fundamental rights necessary to our system of ordered liberty.”</w:t>
            </w:r>
          </w:p>
          <w:p w:rsidR="00056E40" w:rsidRDefault="00056E40">
            <w:pPr>
              <w:rPr>
                <w:rFonts w:ascii="Arial" w:eastAsia="Arial" w:hAnsi="Arial" w:cs="Arial"/>
                <w:color w:val="201F1E"/>
                <w:highlight w:val="white"/>
              </w:rPr>
            </w:pPr>
          </w:p>
          <w:p w:rsidR="00056E40" w:rsidRDefault="005A1472">
            <w:pPr>
              <w:rPr>
                <w:rFonts w:ascii="Arial" w:eastAsia="Arial" w:hAnsi="Arial" w:cs="Arial"/>
              </w:rPr>
            </w:pPr>
            <w:r>
              <w:rPr>
                <w:rFonts w:ascii="Arial" w:eastAsia="Arial" w:hAnsi="Arial" w:cs="Arial"/>
                <w:i/>
                <w:color w:val="201F1E"/>
                <w:highlight w:val="white"/>
              </w:rPr>
              <w:t>McDonald v. City of Chicago</w:t>
            </w:r>
            <w:r>
              <w:rPr>
                <w:rFonts w:ascii="Arial" w:eastAsia="Arial" w:hAnsi="Arial" w:cs="Arial"/>
                <w:color w:val="201F1E"/>
                <w:highlight w:val="white"/>
              </w:rPr>
              <w:t xml:space="preserve"> (2010) – Justice Samuel Alito (Opinion of the Court)</w:t>
            </w:r>
          </w:p>
        </w:tc>
        <w:tc>
          <w:tcPr>
            <w:tcW w:w="3330" w:type="dxa"/>
            <w:tcBorders>
              <w:top w:val="single" w:sz="12" w:space="0" w:color="00BCCA"/>
              <w:left w:val="single" w:sz="12" w:space="0" w:color="00BCCA"/>
              <w:bottom w:val="single" w:sz="12" w:space="0" w:color="00BCCA"/>
              <w:right w:val="single" w:sz="12" w:space="0" w:color="00BCCA"/>
            </w:tcBorders>
          </w:tcPr>
          <w:p w:rsidR="00056E40" w:rsidRDefault="00056E40">
            <w:pPr>
              <w:rPr>
                <w:rFonts w:ascii="Arial" w:eastAsia="Arial" w:hAnsi="Arial" w:cs="Arial"/>
              </w:rPr>
            </w:pPr>
          </w:p>
        </w:tc>
      </w:tr>
      <w:tr w:rsidR="00056E40">
        <w:trPr>
          <w:trHeight w:val="1530"/>
        </w:trPr>
        <w:tc>
          <w:tcPr>
            <w:tcW w:w="6360" w:type="dxa"/>
            <w:tcBorders>
              <w:top w:val="single" w:sz="12" w:space="0" w:color="00BCCA"/>
              <w:left w:val="single" w:sz="12" w:space="0" w:color="00BCCA"/>
              <w:bottom w:val="single" w:sz="12" w:space="0" w:color="00BCCA"/>
              <w:right w:val="single" w:sz="12" w:space="0" w:color="00BCCA"/>
            </w:tcBorders>
          </w:tcPr>
          <w:p w:rsidR="00056E40" w:rsidRDefault="005A1472">
            <w:pPr>
              <w:rPr>
                <w:rFonts w:ascii="Arial" w:eastAsia="Arial" w:hAnsi="Arial" w:cs="Arial"/>
                <w:color w:val="201F1E"/>
              </w:rPr>
            </w:pPr>
            <w:r>
              <w:rPr>
                <w:rFonts w:ascii="Arial" w:eastAsia="Arial" w:hAnsi="Arial" w:cs="Arial"/>
              </w:rPr>
              <w:t xml:space="preserve">2. </w:t>
            </w:r>
            <w:r>
              <w:rPr>
                <w:rFonts w:ascii="Arial" w:eastAsia="Arial" w:hAnsi="Arial" w:cs="Arial"/>
                <w:color w:val="201F1E"/>
              </w:rPr>
              <w:t xml:space="preserve">“The legal doctrine of </w:t>
            </w:r>
            <w:r>
              <w:rPr>
                <w:rFonts w:ascii="Arial" w:eastAsia="Arial" w:hAnsi="Arial" w:cs="Arial"/>
                <w:i/>
                <w:color w:val="201F1E"/>
              </w:rPr>
              <w:t xml:space="preserve">stare decisis </w:t>
            </w:r>
            <w:r>
              <w:rPr>
                <w:rFonts w:ascii="Arial" w:eastAsia="Arial" w:hAnsi="Arial" w:cs="Arial"/>
                <w:color w:val="201F1E"/>
              </w:rPr>
              <w:t>requires us, absent special circumstances, to treat like cases alike. The Louisiana law imposes a burden on access to abortion just as severe as that imposed by</w:t>
            </w:r>
            <w:r>
              <w:rPr>
                <w:rFonts w:ascii="Arial" w:eastAsia="Arial" w:hAnsi="Arial" w:cs="Arial"/>
                <w:color w:val="201F1E"/>
              </w:rPr>
              <w:t xml:space="preserve"> the Texas law, for the same reasons. </w:t>
            </w:r>
            <w:proofErr w:type="gramStart"/>
            <w:r>
              <w:rPr>
                <w:rFonts w:ascii="Arial" w:eastAsia="Arial" w:hAnsi="Arial" w:cs="Arial"/>
                <w:color w:val="201F1E"/>
              </w:rPr>
              <w:t>Therefore</w:t>
            </w:r>
            <w:proofErr w:type="gramEnd"/>
            <w:r>
              <w:rPr>
                <w:rFonts w:ascii="Arial" w:eastAsia="Arial" w:hAnsi="Arial" w:cs="Arial"/>
                <w:color w:val="201F1E"/>
              </w:rPr>
              <w:t xml:space="preserve"> Louisiana’s law cannot stand under our precedents.”</w:t>
            </w:r>
          </w:p>
          <w:p w:rsidR="00056E40" w:rsidRDefault="005A1472">
            <w:pPr>
              <w:rPr>
                <w:rFonts w:ascii="Arial" w:eastAsia="Arial" w:hAnsi="Arial" w:cs="Arial"/>
                <w:color w:val="201F1E"/>
              </w:rPr>
            </w:pPr>
            <w:r>
              <w:rPr>
                <w:rFonts w:ascii="Arial" w:eastAsia="Arial" w:hAnsi="Arial" w:cs="Arial"/>
                <w:color w:val="201F1E"/>
              </w:rPr>
              <w:t xml:space="preserve"> </w:t>
            </w:r>
          </w:p>
          <w:p w:rsidR="00056E40" w:rsidRDefault="005A1472">
            <w:pPr>
              <w:rPr>
                <w:rFonts w:ascii="Arial" w:eastAsia="Arial" w:hAnsi="Arial" w:cs="Arial"/>
              </w:rPr>
            </w:pPr>
            <w:r>
              <w:rPr>
                <w:rFonts w:ascii="Arial" w:eastAsia="Arial" w:hAnsi="Arial" w:cs="Arial"/>
                <w:i/>
                <w:color w:val="201F1E"/>
              </w:rPr>
              <w:t>June Medical Services LLC v. Russo</w:t>
            </w:r>
            <w:r>
              <w:rPr>
                <w:rFonts w:ascii="Arial" w:eastAsia="Arial" w:hAnsi="Arial" w:cs="Arial"/>
                <w:color w:val="201F1E"/>
                <w:highlight w:val="white"/>
              </w:rPr>
              <w:t xml:space="preserve"> (2016) – Chief Justice John Roberts (Concurrence)</w:t>
            </w:r>
          </w:p>
        </w:tc>
        <w:tc>
          <w:tcPr>
            <w:tcW w:w="3330" w:type="dxa"/>
            <w:tcBorders>
              <w:top w:val="single" w:sz="12" w:space="0" w:color="00BCCA"/>
              <w:left w:val="single" w:sz="12" w:space="0" w:color="00BCCA"/>
              <w:bottom w:val="single" w:sz="12" w:space="0" w:color="00BCCA"/>
              <w:right w:val="single" w:sz="12" w:space="0" w:color="00BCCA"/>
            </w:tcBorders>
          </w:tcPr>
          <w:p w:rsidR="00056E40" w:rsidRDefault="00056E40">
            <w:pPr>
              <w:rPr>
                <w:rFonts w:ascii="Arial" w:eastAsia="Arial" w:hAnsi="Arial" w:cs="Arial"/>
              </w:rPr>
            </w:pPr>
          </w:p>
        </w:tc>
      </w:tr>
      <w:tr w:rsidR="00056E40">
        <w:trPr>
          <w:trHeight w:val="1631"/>
        </w:trPr>
        <w:tc>
          <w:tcPr>
            <w:tcW w:w="6360" w:type="dxa"/>
            <w:tcBorders>
              <w:top w:val="single" w:sz="12" w:space="0" w:color="00BCCA"/>
              <w:left w:val="single" w:sz="12" w:space="0" w:color="00BCCA"/>
              <w:bottom w:val="single" w:sz="12" w:space="0" w:color="00BCCA"/>
              <w:right w:val="single" w:sz="12" w:space="0" w:color="00BCCA"/>
            </w:tcBorders>
          </w:tcPr>
          <w:p w:rsidR="00056E40" w:rsidRDefault="005A1472">
            <w:pPr>
              <w:rPr>
                <w:rFonts w:ascii="Arial" w:eastAsia="Arial" w:hAnsi="Arial" w:cs="Arial"/>
                <w:color w:val="201F1E"/>
                <w:highlight w:val="white"/>
              </w:rPr>
            </w:pPr>
            <w:r>
              <w:rPr>
                <w:rFonts w:ascii="Arial" w:eastAsia="Arial" w:hAnsi="Arial" w:cs="Arial"/>
              </w:rPr>
              <w:t xml:space="preserve">3. </w:t>
            </w:r>
            <w:r>
              <w:rPr>
                <w:rFonts w:ascii="Arial" w:eastAsia="Arial" w:hAnsi="Arial" w:cs="Arial"/>
                <w:color w:val="201F1E"/>
                <w:highlight w:val="white"/>
              </w:rPr>
              <w:t>“The nature of injustice is that we may not always see it in our own times. The generations that wrote and ratified the Bill of Rights and the Fourteenth Amendment did not presume to know the extent of freedom in all of its dimensions, and so they entruste</w:t>
            </w:r>
            <w:r>
              <w:rPr>
                <w:rFonts w:ascii="Arial" w:eastAsia="Arial" w:hAnsi="Arial" w:cs="Arial"/>
                <w:color w:val="201F1E"/>
                <w:highlight w:val="white"/>
              </w:rPr>
              <w:t>d to future generations a charter protecting the right of all persons to enjoy liberty as we learn its meaning. When new insight reveals discord between the Constitution's central protections and a received legal stricture, a claim to liberty must be addre</w:t>
            </w:r>
            <w:r>
              <w:rPr>
                <w:rFonts w:ascii="Arial" w:eastAsia="Arial" w:hAnsi="Arial" w:cs="Arial"/>
                <w:color w:val="201F1E"/>
                <w:highlight w:val="white"/>
              </w:rPr>
              <w:t>ssed.”</w:t>
            </w:r>
          </w:p>
          <w:p w:rsidR="00056E40" w:rsidRDefault="00056E40">
            <w:pPr>
              <w:rPr>
                <w:rFonts w:ascii="Arial" w:eastAsia="Arial" w:hAnsi="Arial" w:cs="Arial"/>
                <w:color w:val="201F1E"/>
                <w:highlight w:val="white"/>
              </w:rPr>
            </w:pPr>
          </w:p>
          <w:p w:rsidR="00056E40" w:rsidRDefault="005A1472">
            <w:pPr>
              <w:rPr>
                <w:rFonts w:ascii="Arial" w:eastAsia="Arial" w:hAnsi="Arial" w:cs="Arial"/>
              </w:rPr>
            </w:pPr>
            <w:r>
              <w:rPr>
                <w:rFonts w:ascii="Arial" w:eastAsia="Arial" w:hAnsi="Arial" w:cs="Arial"/>
                <w:i/>
                <w:color w:val="201F1E"/>
                <w:highlight w:val="white"/>
              </w:rPr>
              <w:t>Obergefell v. Hodges</w:t>
            </w:r>
            <w:r>
              <w:rPr>
                <w:rFonts w:ascii="Arial" w:eastAsia="Arial" w:hAnsi="Arial" w:cs="Arial"/>
                <w:color w:val="201F1E"/>
                <w:highlight w:val="white"/>
              </w:rPr>
              <w:t xml:space="preserve"> (2015) – Justice Anthony Kennedy (Opinion of the Court)</w:t>
            </w:r>
          </w:p>
        </w:tc>
        <w:tc>
          <w:tcPr>
            <w:tcW w:w="3330" w:type="dxa"/>
            <w:tcBorders>
              <w:top w:val="single" w:sz="12" w:space="0" w:color="00BCCA"/>
              <w:left w:val="single" w:sz="12" w:space="0" w:color="00BCCA"/>
              <w:bottom w:val="single" w:sz="12" w:space="0" w:color="00BCCA"/>
              <w:right w:val="single" w:sz="12" w:space="0" w:color="00BCCA"/>
            </w:tcBorders>
          </w:tcPr>
          <w:p w:rsidR="00056E40" w:rsidRDefault="00056E40">
            <w:pPr>
              <w:rPr>
                <w:rFonts w:ascii="Arial" w:eastAsia="Arial" w:hAnsi="Arial" w:cs="Arial"/>
              </w:rPr>
            </w:pPr>
          </w:p>
        </w:tc>
      </w:tr>
    </w:tbl>
    <w:p w:rsidR="00C14017" w:rsidRDefault="00C14017">
      <w:r>
        <w:br w:type="page"/>
      </w:r>
      <w:bookmarkStart w:id="0" w:name="_GoBack"/>
      <w:bookmarkEnd w:id="0"/>
    </w:p>
    <w:tbl>
      <w:tblPr>
        <w:tblStyle w:val="a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3330"/>
      </w:tblGrid>
      <w:tr w:rsidR="00056E40">
        <w:trPr>
          <w:trHeight w:val="1050"/>
        </w:trPr>
        <w:tc>
          <w:tcPr>
            <w:tcW w:w="6360" w:type="dxa"/>
            <w:tcBorders>
              <w:top w:val="single" w:sz="12" w:space="0" w:color="00BCCA"/>
              <w:left w:val="single" w:sz="12" w:space="0" w:color="00BCCA"/>
              <w:bottom w:val="single" w:sz="12" w:space="0" w:color="00BCCA"/>
              <w:right w:val="single" w:sz="12" w:space="0" w:color="00BCCA"/>
            </w:tcBorders>
          </w:tcPr>
          <w:p w:rsidR="00056E40" w:rsidRDefault="005A1472">
            <w:pPr>
              <w:rPr>
                <w:rFonts w:ascii="Arial" w:eastAsia="Arial" w:hAnsi="Arial" w:cs="Arial"/>
              </w:rPr>
            </w:pPr>
            <w:r>
              <w:rPr>
                <w:rFonts w:ascii="Arial" w:eastAsia="Arial" w:hAnsi="Arial" w:cs="Arial"/>
              </w:rPr>
              <w:lastRenderedPageBreak/>
              <w:t>4. “When the express terms of a statute give us one answer and extratextual considerations suggest another, it’s no contest. Only the written word is the law, and all pe</w:t>
            </w:r>
            <w:r>
              <w:rPr>
                <w:rFonts w:ascii="Arial" w:eastAsia="Arial" w:hAnsi="Arial" w:cs="Arial"/>
              </w:rPr>
              <w:t>rsons are entitled to its benefit.”</w:t>
            </w:r>
          </w:p>
          <w:p w:rsidR="00056E40" w:rsidRDefault="00056E40">
            <w:pPr>
              <w:rPr>
                <w:rFonts w:ascii="Arial" w:eastAsia="Arial" w:hAnsi="Arial" w:cs="Arial"/>
              </w:rPr>
            </w:pPr>
          </w:p>
          <w:p w:rsidR="00056E40" w:rsidRDefault="005A1472">
            <w:pPr>
              <w:rPr>
                <w:rFonts w:ascii="Arial" w:eastAsia="Arial" w:hAnsi="Arial" w:cs="Arial"/>
              </w:rPr>
            </w:pPr>
            <w:r>
              <w:rPr>
                <w:rFonts w:ascii="Arial" w:eastAsia="Arial" w:hAnsi="Arial" w:cs="Arial"/>
                <w:i/>
              </w:rPr>
              <w:t>Bostock v. Clayton County</w:t>
            </w:r>
            <w:r>
              <w:rPr>
                <w:rFonts w:ascii="Arial" w:eastAsia="Arial" w:hAnsi="Arial" w:cs="Arial"/>
              </w:rPr>
              <w:t xml:space="preserve"> (2020) – Justice Neil Gorsuch (Opinion of the Court)</w:t>
            </w:r>
          </w:p>
        </w:tc>
        <w:tc>
          <w:tcPr>
            <w:tcW w:w="3330" w:type="dxa"/>
            <w:tcBorders>
              <w:top w:val="single" w:sz="12" w:space="0" w:color="00BCCA"/>
              <w:left w:val="single" w:sz="12" w:space="0" w:color="00BCCA"/>
              <w:bottom w:val="single" w:sz="12" w:space="0" w:color="00BCCA"/>
              <w:right w:val="single" w:sz="12" w:space="0" w:color="00BCCA"/>
            </w:tcBorders>
          </w:tcPr>
          <w:p w:rsidR="00056E40" w:rsidRDefault="00056E40">
            <w:pPr>
              <w:rPr>
                <w:rFonts w:ascii="Arial" w:eastAsia="Arial" w:hAnsi="Arial" w:cs="Arial"/>
              </w:rPr>
            </w:pPr>
          </w:p>
        </w:tc>
      </w:tr>
      <w:tr w:rsidR="00056E40">
        <w:trPr>
          <w:trHeight w:val="1631"/>
        </w:trPr>
        <w:tc>
          <w:tcPr>
            <w:tcW w:w="6360" w:type="dxa"/>
            <w:tcBorders>
              <w:top w:val="single" w:sz="12" w:space="0" w:color="00BCCA"/>
              <w:left w:val="single" w:sz="12" w:space="0" w:color="00BCCA"/>
              <w:bottom w:val="single" w:sz="12" w:space="0" w:color="00BCCA"/>
              <w:right w:val="single" w:sz="12" w:space="0" w:color="00BCCA"/>
            </w:tcBorders>
          </w:tcPr>
          <w:p w:rsidR="00056E40" w:rsidRDefault="005A1472">
            <w:pPr>
              <w:rPr>
                <w:rFonts w:ascii="Arial" w:eastAsia="Arial" w:hAnsi="Arial" w:cs="Arial"/>
              </w:rPr>
            </w:pPr>
            <w:r>
              <w:rPr>
                <w:rFonts w:ascii="Arial" w:eastAsia="Arial" w:hAnsi="Arial" w:cs="Arial"/>
              </w:rPr>
              <w:t xml:space="preserve">5. “The Court’s inquiry, then, must be to determine whether the prayer practice in the town of Greece fits within the tradition long followed in Congress and the state legislatures.” </w:t>
            </w:r>
          </w:p>
          <w:p w:rsidR="00056E40" w:rsidRDefault="00056E40">
            <w:pPr>
              <w:spacing w:line="276" w:lineRule="auto"/>
              <w:rPr>
                <w:rFonts w:ascii="Arial" w:eastAsia="Arial" w:hAnsi="Arial" w:cs="Arial"/>
              </w:rPr>
            </w:pPr>
          </w:p>
          <w:p w:rsidR="00056E40" w:rsidRDefault="005A1472">
            <w:pPr>
              <w:rPr>
                <w:rFonts w:ascii="Arial" w:eastAsia="Arial" w:hAnsi="Arial" w:cs="Arial"/>
              </w:rPr>
            </w:pPr>
            <w:r>
              <w:rPr>
                <w:rFonts w:ascii="Arial" w:eastAsia="Arial" w:hAnsi="Arial" w:cs="Arial"/>
                <w:i/>
              </w:rPr>
              <w:t>Town of Greece v. Galloway</w:t>
            </w:r>
            <w:r>
              <w:rPr>
                <w:rFonts w:ascii="Arial" w:eastAsia="Arial" w:hAnsi="Arial" w:cs="Arial"/>
              </w:rPr>
              <w:t xml:space="preserve"> (2014) – Justice Anthony Kennedy (Opinion of</w:t>
            </w:r>
            <w:r>
              <w:rPr>
                <w:rFonts w:ascii="Arial" w:eastAsia="Arial" w:hAnsi="Arial" w:cs="Arial"/>
              </w:rPr>
              <w:t xml:space="preserve"> the Court)</w:t>
            </w:r>
          </w:p>
        </w:tc>
        <w:tc>
          <w:tcPr>
            <w:tcW w:w="3330" w:type="dxa"/>
            <w:tcBorders>
              <w:top w:val="single" w:sz="12" w:space="0" w:color="00BCCA"/>
              <w:left w:val="single" w:sz="12" w:space="0" w:color="00BCCA"/>
              <w:bottom w:val="single" w:sz="12" w:space="0" w:color="00BCCA"/>
              <w:right w:val="single" w:sz="12" w:space="0" w:color="00BCCA"/>
            </w:tcBorders>
          </w:tcPr>
          <w:p w:rsidR="00056E40" w:rsidRDefault="00056E40">
            <w:pPr>
              <w:rPr>
                <w:rFonts w:ascii="Arial" w:eastAsia="Arial" w:hAnsi="Arial" w:cs="Arial"/>
              </w:rPr>
            </w:pPr>
          </w:p>
        </w:tc>
      </w:tr>
      <w:tr w:rsidR="00056E40">
        <w:trPr>
          <w:trHeight w:val="1631"/>
        </w:trPr>
        <w:tc>
          <w:tcPr>
            <w:tcW w:w="6360" w:type="dxa"/>
            <w:tcBorders>
              <w:top w:val="single" w:sz="12" w:space="0" w:color="00BCCA"/>
              <w:left w:val="single" w:sz="12" w:space="0" w:color="00BCCA"/>
              <w:bottom w:val="single" w:sz="12" w:space="0" w:color="00BCCA"/>
              <w:right w:val="single" w:sz="12" w:space="0" w:color="00BCCA"/>
            </w:tcBorders>
          </w:tcPr>
          <w:p w:rsidR="00056E40" w:rsidRDefault="005A1472">
            <w:pPr>
              <w:rPr>
                <w:rFonts w:ascii="Arial" w:eastAsia="Arial" w:hAnsi="Arial" w:cs="Arial"/>
              </w:rPr>
            </w:pPr>
            <w:r>
              <w:rPr>
                <w:rFonts w:ascii="Arial" w:eastAsia="Arial" w:hAnsi="Arial" w:cs="Arial"/>
              </w:rPr>
              <w:t>6. “</w:t>
            </w:r>
            <w:r>
              <w:rPr>
                <w:rFonts w:ascii="Arial" w:eastAsia="Arial" w:hAnsi="Arial" w:cs="Arial"/>
                <w:color w:val="201F1E"/>
                <w:highlight w:val="white"/>
              </w:rPr>
              <w:t>[The Constitution’s]</w:t>
            </w:r>
            <w:r>
              <w:rPr>
                <w:rFonts w:ascii="Arial" w:eastAsia="Arial" w:hAnsi="Arial" w:cs="Arial"/>
              </w:rPr>
              <w:t xml:space="preserve"> nature, therefore, requires, that only its great outlines should be marked, its important objects designated, and the minor ingredients which compose those objects be deduced from the nature of the objects themselves.</w:t>
            </w:r>
            <w:r>
              <w:rPr>
                <w:rFonts w:ascii="Arial" w:eastAsia="Arial" w:hAnsi="Arial" w:cs="Arial"/>
              </w:rPr>
              <w:t xml:space="preserve"> That this idea was entertained by the framers of the American constitution, is not only to be inferred from the nature of the instrument, but from the language.” </w:t>
            </w:r>
          </w:p>
          <w:p w:rsidR="00056E40" w:rsidRDefault="00056E40">
            <w:pPr>
              <w:rPr>
                <w:rFonts w:ascii="Arial" w:eastAsia="Arial" w:hAnsi="Arial" w:cs="Arial"/>
              </w:rPr>
            </w:pPr>
          </w:p>
          <w:p w:rsidR="00056E40" w:rsidRDefault="005A1472">
            <w:pPr>
              <w:rPr>
                <w:rFonts w:ascii="Arial" w:eastAsia="Arial" w:hAnsi="Arial" w:cs="Arial"/>
              </w:rPr>
            </w:pPr>
            <w:r>
              <w:rPr>
                <w:rFonts w:ascii="Arial" w:eastAsia="Arial" w:hAnsi="Arial" w:cs="Arial"/>
                <w:i/>
              </w:rPr>
              <w:t>McCulloch v. Maryland</w:t>
            </w:r>
            <w:r>
              <w:rPr>
                <w:rFonts w:ascii="Arial" w:eastAsia="Arial" w:hAnsi="Arial" w:cs="Arial"/>
              </w:rPr>
              <w:t xml:space="preserve"> (1819) – Chief Justice John Marshall (Opinion of the Court)</w:t>
            </w:r>
          </w:p>
        </w:tc>
        <w:tc>
          <w:tcPr>
            <w:tcW w:w="3330" w:type="dxa"/>
            <w:tcBorders>
              <w:top w:val="single" w:sz="12" w:space="0" w:color="00BCCA"/>
              <w:left w:val="single" w:sz="12" w:space="0" w:color="00BCCA"/>
              <w:bottom w:val="single" w:sz="12" w:space="0" w:color="00BCCA"/>
              <w:right w:val="single" w:sz="12" w:space="0" w:color="00BCCA"/>
            </w:tcBorders>
          </w:tcPr>
          <w:p w:rsidR="00056E40" w:rsidRDefault="00056E40">
            <w:pPr>
              <w:rPr>
                <w:rFonts w:ascii="Arial" w:eastAsia="Arial" w:hAnsi="Arial" w:cs="Arial"/>
              </w:rPr>
            </w:pPr>
          </w:p>
        </w:tc>
      </w:tr>
      <w:tr w:rsidR="00056E40">
        <w:trPr>
          <w:trHeight w:val="1631"/>
        </w:trPr>
        <w:tc>
          <w:tcPr>
            <w:tcW w:w="6360" w:type="dxa"/>
            <w:tcBorders>
              <w:top w:val="single" w:sz="12" w:space="0" w:color="00BCCA"/>
              <w:left w:val="single" w:sz="12" w:space="0" w:color="00BCCA"/>
              <w:bottom w:val="single" w:sz="12" w:space="0" w:color="00BCCA"/>
              <w:right w:val="single" w:sz="12" w:space="0" w:color="00BCCA"/>
            </w:tcBorders>
          </w:tcPr>
          <w:p w:rsidR="00056E40" w:rsidRDefault="005A1472">
            <w:pPr>
              <w:rPr>
                <w:rFonts w:ascii="Arial" w:eastAsia="Arial" w:hAnsi="Arial" w:cs="Arial"/>
              </w:rPr>
            </w:pPr>
            <w:r>
              <w:rPr>
                <w:rFonts w:ascii="Arial" w:eastAsia="Arial" w:hAnsi="Arial" w:cs="Arial"/>
              </w:rPr>
              <w:t>7. “Far more important are the unfortunate consequences that today’s decision is likely to spawn. Not least of these, as I have said, is the fact that the decision threatens to throw into doubt the constitutionality of gun laws throughout the United States</w:t>
            </w:r>
            <w:r>
              <w:rPr>
                <w:rFonts w:ascii="Arial" w:eastAsia="Arial" w:hAnsi="Arial" w:cs="Arial"/>
              </w:rPr>
              <w:t>. I can find no sound legal basis for launching the courts on so formidable and potentially dangerous a mission. In my view, there simply is no untouchable constitutional right guaranteed by the Second Amendment to keep loaded handguns in the house in crim</w:t>
            </w:r>
            <w:r>
              <w:rPr>
                <w:rFonts w:ascii="Arial" w:eastAsia="Arial" w:hAnsi="Arial" w:cs="Arial"/>
              </w:rPr>
              <w:t xml:space="preserve">e-ridden urban areas.” </w:t>
            </w:r>
          </w:p>
          <w:p w:rsidR="00056E40" w:rsidRDefault="00056E40">
            <w:pPr>
              <w:spacing w:line="276" w:lineRule="auto"/>
              <w:rPr>
                <w:rFonts w:ascii="Arial" w:eastAsia="Arial" w:hAnsi="Arial" w:cs="Arial"/>
              </w:rPr>
            </w:pPr>
          </w:p>
          <w:p w:rsidR="00056E40" w:rsidRDefault="005A1472">
            <w:pPr>
              <w:rPr>
                <w:rFonts w:ascii="Arial" w:eastAsia="Arial" w:hAnsi="Arial" w:cs="Arial"/>
              </w:rPr>
            </w:pPr>
            <w:r>
              <w:rPr>
                <w:rFonts w:ascii="Arial" w:eastAsia="Arial" w:hAnsi="Arial" w:cs="Arial"/>
                <w:i/>
              </w:rPr>
              <w:t xml:space="preserve">District of Columbia v. Heller </w:t>
            </w:r>
            <w:r>
              <w:rPr>
                <w:rFonts w:ascii="Arial" w:eastAsia="Arial" w:hAnsi="Arial" w:cs="Arial"/>
              </w:rPr>
              <w:t>(2008) – Justice Stephen Breyer (Dissenting Opinion)</w:t>
            </w:r>
          </w:p>
        </w:tc>
        <w:tc>
          <w:tcPr>
            <w:tcW w:w="3330" w:type="dxa"/>
            <w:tcBorders>
              <w:top w:val="single" w:sz="12" w:space="0" w:color="00BCCA"/>
              <w:left w:val="single" w:sz="12" w:space="0" w:color="00BCCA"/>
              <w:bottom w:val="single" w:sz="12" w:space="0" w:color="00BCCA"/>
              <w:right w:val="single" w:sz="12" w:space="0" w:color="00BCCA"/>
            </w:tcBorders>
          </w:tcPr>
          <w:p w:rsidR="00056E40" w:rsidRDefault="00056E40">
            <w:pPr>
              <w:rPr>
                <w:rFonts w:ascii="Arial" w:eastAsia="Arial" w:hAnsi="Arial" w:cs="Arial"/>
              </w:rPr>
            </w:pPr>
          </w:p>
        </w:tc>
      </w:tr>
    </w:tbl>
    <w:p w:rsidR="00056E40" w:rsidRDefault="00056E40">
      <w:pPr>
        <w:spacing w:before="120" w:line="252" w:lineRule="auto"/>
        <w:rPr>
          <w:rFonts w:ascii="Arial" w:eastAsia="Arial" w:hAnsi="Arial" w:cs="Arial"/>
          <w:sz w:val="8"/>
          <w:szCs w:val="8"/>
        </w:rPr>
      </w:pPr>
    </w:p>
    <w:sectPr w:rsidR="00056E4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472" w:rsidRDefault="005A1472">
      <w:pPr>
        <w:spacing w:after="0" w:line="240" w:lineRule="auto"/>
      </w:pPr>
      <w:r>
        <w:separator/>
      </w:r>
    </w:p>
  </w:endnote>
  <w:endnote w:type="continuationSeparator" w:id="0">
    <w:p w:rsidR="005A1472" w:rsidRDefault="005A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E40" w:rsidRDefault="005A1472">
    <w:pPr>
      <w:tabs>
        <w:tab w:val="left" w:pos="3305"/>
      </w:tabs>
      <w:spacing w:before="120" w:line="240" w:lineRule="auto"/>
      <w:jc w:val="center"/>
      <w:rPr>
        <w:rFonts w:ascii="Arial" w:eastAsia="Arial" w:hAnsi="Arial" w:cs="Arial"/>
        <w:b/>
        <w:color w:val="002169"/>
        <w:sz w:val="20"/>
        <w:szCs w:val="20"/>
      </w:rPr>
    </w:pPr>
    <w:r>
      <w:rPr>
        <w:rFonts w:ascii="Arial" w:eastAsia="Arial" w:hAnsi="Arial" w:cs="Arial"/>
        <w:b/>
        <w:noProof/>
        <w:color w:val="002169"/>
        <w:sz w:val="20"/>
        <w:szCs w:val="20"/>
      </w:rPr>
      <w:drawing>
        <wp:inline distT="114300" distB="114300" distL="114300" distR="114300">
          <wp:extent cx="2313637" cy="581099"/>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472" w:rsidRDefault="005A1472">
      <w:pPr>
        <w:spacing w:after="0" w:line="240" w:lineRule="auto"/>
      </w:pPr>
      <w:r>
        <w:separator/>
      </w:r>
    </w:p>
  </w:footnote>
  <w:footnote w:type="continuationSeparator" w:id="0">
    <w:p w:rsidR="005A1472" w:rsidRDefault="005A1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E40" w:rsidRDefault="005A1472">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3" name="Straight Arrow Connector 13"/>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56E40" w:rsidRDefault="005A1472">
    <w:pPr>
      <w:spacing w:after="0" w:line="240" w:lineRule="auto"/>
      <w:rPr>
        <w:rFonts w:ascii="Arial" w:eastAsia="Arial" w:hAnsi="Arial" w:cs="Arial"/>
        <w:color w:val="002169"/>
      </w:rPr>
    </w:pPr>
    <w:r>
      <w:rPr>
        <w:rFonts w:ascii="Arial" w:eastAsia="Arial" w:hAnsi="Arial" w:cs="Arial"/>
        <w:color w:val="002169"/>
      </w:rPr>
      <w:t>Module 1: Constitutional Conversations and Civil Dialogue</w:t>
    </w:r>
  </w:p>
  <w:p w:rsidR="00056E40" w:rsidRDefault="005A1472">
    <w:pPr>
      <w:spacing w:after="0" w:line="240" w:lineRule="auto"/>
      <w:rPr>
        <w:rFonts w:ascii="Arial" w:eastAsia="Arial" w:hAnsi="Arial" w:cs="Arial"/>
        <w:color w:val="002169"/>
      </w:rPr>
    </w:pPr>
    <w:r>
      <w:rPr>
        <w:rFonts w:ascii="Arial" w:eastAsia="Arial" w:hAnsi="Arial" w:cs="Arial"/>
        <w:color w:val="002169"/>
      </w:rPr>
      <w:t>1.5 Activity Guide</w:t>
    </w:r>
  </w:p>
  <w:p w:rsidR="00056E40" w:rsidRDefault="00056E40">
    <w:pPr>
      <w:spacing w:after="0" w:line="240" w:lineRule="auto"/>
      <w:rPr>
        <w:rFonts w:ascii="Arial" w:eastAsia="Arial" w:hAnsi="Arial" w:cs="Arial"/>
        <w:color w:val="00216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40"/>
    <w:rsid w:val="00056E40"/>
    <w:rsid w:val="004D27BE"/>
    <w:rsid w:val="005A1472"/>
    <w:rsid w:val="00C1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C0A84-2EE7-45DE-942B-A42D72C5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C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47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CB"/>
  </w:style>
  <w:style w:type="paragraph" w:styleId="Footer">
    <w:name w:val="footer"/>
    <w:basedOn w:val="Normal"/>
    <w:link w:val="FooterChar"/>
    <w:uiPriority w:val="99"/>
    <w:unhideWhenUsed/>
    <w:rsid w:val="00B4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CB"/>
  </w:style>
  <w:style w:type="character" w:styleId="CommentReference">
    <w:name w:val="annotation reference"/>
    <w:basedOn w:val="DefaultParagraphFont"/>
    <w:uiPriority w:val="99"/>
    <w:semiHidden/>
    <w:unhideWhenUsed/>
    <w:rsid w:val="00B472CB"/>
    <w:rPr>
      <w:sz w:val="16"/>
      <w:szCs w:val="16"/>
    </w:rPr>
  </w:style>
  <w:style w:type="paragraph" w:styleId="CommentText">
    <w:name w:val="annotation text"/>
    <w:basedOn w:val="Normal"/>
    <w:link w:val="CommentTextChar"/>
    <w:uiPriority w:val="99"/>
    <w:semiHidden/>
    <w:unhideWhenUsed/>
    <w:rsid w:val="00B472CB"/>
    <w:pPr>
      <w:spacing w:line="240" w:lineRule="auto"/>
    </w:pPr>
    <w:rPr>
      <w:sz w:val="20"/>
      <w:szCs w:val="20"/>
    </w:rPr>
  </w:style>
  <w:style w:type="character" w:customStyle="1" w:styleId="CommentTextChar">
    <w:name w:val="Comment Text Char"/>
    <w:basedOn w:val="DefaultParagraphFont"/>
    <w:link w:val="CommentText"/>
    <w:uiPriority w:val="99"/>
    <w:semiHidden/>
    <w:rsid w:val="00B472CB"/>
    <w:rPr>
      <w:sz w:val="20"/>
      <w:szCs w:val="20"/>
    </w:rPr>
  </w:style>
  <w:style w:type="paragraph" w:styleId="CommentSubject">
    <w:name w:val="annotation subject"/>
    <w:basedOn w:val="CommentText"/>
    <w:next w:val="CommentText"/>
    <w:link w:val="CommentSubjectChar"/>
    <w:uiPriority w:val="99"/>
    <w:semiHidden/>
    <w:unhideWhenUsed/>
    <w:rsid w:val="00B472CB"/>
    <w:rPr>
      <w:b/>
      <w:bCs/>
    </w:rPr>
  </w:style>
  <w:style w:type="character" w:customStyle="1" w:styleId="CommentSubjectChar">
    <w:name w:val="Comment Subject Char"/>
    <w:basedOn w:val="CommentTextChar"/>
    <w:link w:val="CommentSubject"/>
    <w:uiPriority w:val="99"/>
    <w:semiHidden/>
    <w:rsid w:val="00B472CB"/>
    <w:rPr>
      <w:b/>
      <w:bCs/>
      <w:sz w:val="20"/>
      <w:szCs w:val="20"/>
    </w:rPr>
  </w:style>
  <w:style w:type="paragraph" w:styleId="BalloonText">
    <w:name w:val="Balloon Text"/>
    <w:basedOn w:val="Normal"/>
    <w:link w:val="BalloonTextChar"/>
    <w:uiPriority w:val="99"/>
    <w:semiHidden/>
    <w:unhideWhenUsed/>
    <w:rsid w:val="00B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CB"/>
    <w:rPr>
      <w:rFonts w:ascii="Segoe UI" w:hAnsi="Segoe UI" w:cs="Segoe UI"/>
      <w:sz w:val="18"/>
      <w:szCs w:val="18"/>
    </w:rPr>
  </w:style>
  <w:style w:type="character" w:styleId="Hyperlink">
    <w:name w:val="Hyperlink"/>
    <w:basedOn w:val="DefaultParagraphFont"/>
    <w:uiPriority w:val="99"/>
    <w:unhideWhenUsed/>
    <w:rsid w:val="003256A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934F7"/>
    <w:rPr>
      <w:color w:val="605E5C"/>
      <w:shd w:val="clear" w:color="auto" w:fill="E1DFDD"/>
    </w:rPr>
  </w:style>
  <w:style w:type="character" w:styleId="FollowedHyperlink">
    <w:name w:val="FollowedHyperlink"/>
    <w:basedOn w:val="DefaultParagraphFont"/>
    <w:uiPriority w:val="99"/>
    <w:semiHidden/>
    <w:unhideWhenUsed/>
    <w:rsid w:val="00F934F7"/>
    <w:rPr>
      <w:color w:val="954F72" w:themeColor="followed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29" w:type="dxa"/>
        <w:bottom w:w="29" w:type="dxa"/>
      </w:tblCellMar>
    </w:tblPr>
  </w:style>
  <w:style w:type="table" w:customStyle="1" w:styleId="a2">
    <w:basedOn w:val="TableNormal"/>
    <w:pPr>
      <w:spacing w:after="0" w:line="240" w:lineRule="auto"/>
    </w:pPr>
    <w:tblPr>
      <w:tblStyleRowBandSize w:val="1"/>
      <w:tblStyleColBandSize w:val="1"/>
      <w:tblCellMar>
        <w:top w:w="29" w:type="dxa"/>
        <w:bottom w:w="29" w:type="dxa"/>
      </w:tblCellMar>
    </w:tblPr>
  </w:style>
  <w:style w:type="table" w:customStyle="1" w:styleId="a3">
    <w:basedOn w:val="TableNormal"/>
    <w:pPr>
      <w:spacing w:after="0" w:line="240" w:lineRule="auto"/>
    </w:pPr>
    <w:tblPr>
      <w:tblStyleRowBandSize w:val="1"/>
      <w:tblStyleColBandSize w:val="1"/>
      <w:tblCellMar>
        <w:top w:w="29" w:type="dxa"/>
        <w:bottom w:w="29" w:type="dxa"/>
      </w:tblCellMar>
    </w:tblPr>
  </w:style>
  <w:style w:type="table" w:customStyle="1" w:styleId="a4">
    <w:basedOn w:val="TableNormal"/>
    <w:pPr>
      <w:spacing w:after="0" w:line="240" w:lineRule="auto"/>
    </w:pPr>
    <w:tblPr>
      <w:tblStyleRowBandSize w:val="1"/>
      <w:tblStyleColBandSize w:val="1"/>
      <w:tblCellMar>
        <w:top w:w="29" w:type="dxa"/>
        <w:bottom w:w="29" w:type="dxa"/>
      </w:tblCellMar>
    </w:tblPr>
  </w:style>
  <w:style w:type="table" w:customStyle="1" w:styleId="a5">
    <w:basedOn w:val="TableNormal"/>
    <w:pPr>
      <w:spacing w:after="0" w:line="240" w:lineRule="auto"/>
    </w:pPr>
    <w:tblPr>
      <w:tblStyleRowBandSize w:val="1"/>
      <w:tblStyleColBandSize w:val="1"/>
      <w:tblCellMar>
        <w:top w:w="29" w:type="dxa"/>
        <w:bottom w:w="29" w:type="dxa"/>
      </w:tblCellMar>
    </w:tblPr>
  </w:style>
  <w:style w:type="table" w:customStyle="1" w:styleId="a6">
    <w:basedOn w:val="TableNormal"/>
    <w:pPr>
      <w:spacing w:after="0"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tX05rbAflztRn/m/z/yfMHlVQ==">AMUW2mXymUv5BCByrm+eiGMjqw+M4GxWpNfo9UsNzZFdLtS5ax71252vLOScGcmb5nf/TN6ZzuPxi6/Z+PzcndUd1p1aFbo/MdKdi+c+bwQ5SEULazahscs=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Winterle Kehres</dc:creator>
  <cp:lastModifiedBy>Jenna Winterle Kehres</cp:lastModifiedBy>
  <cp:revision>3</cp:revision>
  <dcterms:created xsi:type="dcterms:W3CDTF">2022-09-21T19:21:00Z</dcterms:created>
  <dcterms:modified xsi:type="dcterms:W3CDTF">2022-09-21T19:22:00Z</dcterms:modified>
</cp:coreProperties>
</file>